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STUDENT MOBILITY AGREEMENT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BETWEEN THE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 UNIVERSITY OF MARINGÁ, BRAZIL</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 THE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INSTITUTION’S NAME (COUNTRY)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 University of Maringá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public institution, Treasury Department Control Number n</w:t>
      </w:r>
      <w:r w:rsidDel="00000000" w:rsidR="00000000" w:rsidRPr="00000000">
        <w:rPr>
          <w:rFonts w:ascii="Arial" w:cs="Arial" w:eastAsia="Arial" w:hAnsi="Arial"/>
          <w:b w:val="0"/>
          <w:i w:val="0"/>
          <w:smallCaps w:val="0"/>
          <w:strike w:val="0"/>
          <w:color w:val="000000"/>
          <w:sz w:val="22"/>
          <w:szCs w:val="22"/>
          <w:u w:val="singl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79.151.312/0001-56, based at 5,790 Colombo Avenue, Maringá, State of Paraná, Brazil, hereafter called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represented in this Agreement by its Rector, Prof. Julio César Damasceno, PhD, and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University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based at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(full address),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hereafter called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(university acronyms)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represented in this agreement by its Rector,</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 this Studity Mobility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accordance with the laws of the host countries of the universities, in accordance with the following clauses: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ONE.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institution agrees to annually receive 05 (five) students who have completed and passed the disciplines equivalent to a third of their courses, for a period of one academic semester, renewable for one more semester.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TWO.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selection of the exchange students is the responsibility of the home institution, according to its criteria. The names of the selected students must be informed to its counterpart at least 02 (two) months prior to the start of the academic activities.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THREE</w:t>
      </w:r>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host university </w:t>
      </w:r>
      <w:r w:rsidDel="00000000" w:rsidR="00000000" w:rsidRPr="00000000">
        <w:rPr>
          <w:rFonts w:ascii="Arial" w:cs="Arial" w:eastAsia="Arial" w:hAnsi="Arial"/>
          <w:color w:val="222222"/>
          <w:sz w:val="22"/>
          <w:szCs w:val="22"/>
          <w:rtl w:val="0"/>
        </w:rPr>
        <w:t xml:space="preserve">undertakes to provide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additional training in the language of its country.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FOUR</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host institution will not charge any </w:t>
      </w:r>
      <w:r w:rsidDel="00000000" w:rsidR="00000000" w:rsidRPr="00000000">
        <w:rPr>
          <w:rFonts w:ascii="Arial" w:cs="Arial" w:eastAsia="Arial" w:hAnsi="Arial"/>
          <w:sz w:val="22"/>
          <w:szCs w:val="22"/>
          <w:rtl w:val="0"/>
        </w:rPr>
        <w:t xml:space="preserve">enrollment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tuition fees from the exchange students, but such students will pay the academic fees of their home institution.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FIVE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All personal expenses, such as transportation, accommodation, food, books, and medical insurance are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the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responsibility of the exchange students. The medical insurance receipt must be submitted to the host university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SIX.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host university will help the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exchange students to find an appropriate accommodation, and will provide information about the campus. Exchange students will have access to the library, internet and sports facilities at the host university.</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SEVEN.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exchange students will be submitted to the rules of the host university and the laws of the host country during the exchange period.</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EIGHT.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host university will send an official certificate reporting the academic results of each student to the home institution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requested either by the student or the host university.</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NINE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The disciplines attended by the exchange students at the host institution will be recognized and ratified in their home institution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TEN</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The resumption of studies in the host university after the exchange period </w:t>
      </w:r>
      <w:r w:rsidDel="00000000" w:rsidR="00000000" w:rsidRPr="00000000">
        <w:rPr>
          <w:rFonts w:ascii="Arial" w:cs="Arial" w:eastAsia="Arial" w:hAnsi="Arial"/>
          <w:color w:val="222222"/>
          <w:sz w:val="22"/>
          <w:szCs w:val="22"/>
          <w:rtl w:val="0"/>
        </w:rPr>
        <w:t xml:space="preserve">is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not ensured by this Agreement, and it must follow the requirements and norms of the host university.</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ELEVEN</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Both universities will respect the principles o</w:t>
      </w:r>
      <w:r w:rsidDel="00000000" w:rsidR="00000000" w:rsidRPr="00000000">
        <w:rPr>
          <w:rFonts w:ascii="Arial" w:cs="Arial" w:eastAsia="Arial" w:hAnsi="Arial"/>
          <w:color w:val="222222"/>
          <w:sz w:val="22"/>
          <w:szCs w:val="22"/>
          <w:rtl w:val="0"/>
        </w:rPr>
        <w:t xml:space="preserve">f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opportunity</w:t>
      </w:r>
      <w:r w:rsidDel="00000000" w:rsidR="00000000" w:rsidRPr="00000000">
        <w:rPr>
          <w:rFonts w:ascii="Arial" w:cs="Arial" w:eastAsia="Arial" w:hAnsi="Arial"/>
          <w:color w:val="222222"/>
          <w:sz w:val="22"/>
          <w:szCs w:val="22"/>
          <w:rtl w:val="0"/>
        </w:rPr>
        <w:t xml:space="preserve"> equality</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while </w:t>
      </w:r>
      <w:r w:rsidDel="00000000" w:rsidR="00000000" w:rsidRPr="00000000">
        <w:rPr>
          <w:rFonts w:ascii="Arial" w:cs="Arial" w:eastAsia="Arial" w:hAnsi="Arial"/>
          <w:color w:val="222222"/>
          <w:sz w:val="22"/>
          <w:szCs w:val="22"/>
          <w:rtl w:val="0"/>
        </w:rPr>
        <w:t xml:space="preserve">involved</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in this Agreement and therefore shall not discriminate on the basis of race, age, gender, sexual orientation, physical or mental disability, religion, ancestry or national origin, marital status, genetic information, political affiliation, and/or gender identity or expression in any commitment or collaboration under this Agreement.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CLAUSE TWELVE.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The International Cooperation Office of </w:t>
      </w:r>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UEM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22222"/>
          <w:sz w:val="22"/>
          <w:szCs w:val="22"/>
          <w:highlight w:val="yellow"/>
          <w:u w:val="none"/>
          <w:vertAlign w:val="baseline"/>
          <w:rtl w:val="0"/>
        </w:rPr>
        <w:t xml:space="preserve">(</w:t>
      </w:r>
      <w:r w:rsidDel="00000000" w:rsidR="00000000" w:rsidRPr="00000000">
        <w:rPr>
          <w:rFonts w:ascii="Arial" w:cs="Arial" w:eastAsia="Arial" w:hAnsi="Arial"/>
          <w:b w:val="1"/>
          <w:i w:val="0"/>
          <w:smallCaps w:val="0"/>
          <w:strike w:val="0"/>
          <w:color w:val="222222"/>
          <w:sz w:val="22"/>
          <w:szCs w:val="22"/>
          <w:highlight w:val="yellow"/>
          <w:u w:val="none"/>
          <w:vertAlign w:val="baseline"/>
          <w:rtl w:val="0"/>
        </w:rPr>
        <w:t xml:space="preserve">OFFICE / DEPARTMENT OF THE UNIVERSITY –</w:t>
      </w:r>
      <w:r w:rsidDel="00000000" w:rsidR="00000000" w:rsidRPr="00000000">
        <w:rPr>
          <w:rFonts w:ascii="Arial" w:cs="Arial" w:eastAsia="Arial" w:hAnsi="Arial"/>
          <w:b w:val="1"/>
          <w:i w:val="0"/>
          <w:smallCaps w:val="0"/>
          <w:strike w:val="0"/>
          <w:color w:val="222222"/>
          <w:sz w:val="22"/>
          <w:szCs w:val="22"/>
          <w:highlight w:val="yellow"/>
          <w:u w:val="none"/>
          <w:vertAlign w:val="baseline"/>
          <w:rtl w:val="0"/>
        </w:rPr>
        <w:t xml:space="preserve"> </w:t>
      </w:r>
      <w:r w:rsidDel="00000000" w:rsidR="00000000" w:rsidRPr="00000000">
        <w:rPr>
          <w:rFonts w:ascii="Arial" w:cs="Arial" w:eastAsia="Arial" w:hAnsi="Arial"/>
          <w:b w:val="1"/>
          <w:color w:val="222222"/>
          <w:sz w:val="22"/>
          <w:szCs w:val="22"/>
          <w:highlight w:val="yellow"/>
          <w:rtl w:val="0"/>
        </w:rPr>
        <w:t xml:space="preserve">ACRONYMS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are the executing units of this Agreement.</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CLAUSE THIRTEEN.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present Agreement will be in force for 05 (five) years coinciding with the International Cooperation Agreement signed, and may be modified during this period, by signing an Addendum, in </w:t>
      </w:r>
      <w:r w:rsidDel="00000000" w:rsidR="00000000" w:rsidRPr="00000000">
        <w:rPr>
          <w:rFonts w:ascii="Arial" w:cs="Arial" w:eastAsia="Arial" w:hAnsi="Arial"/>
          <w:color w:val="222222"/>
          <w:sz w:val="22"/>
          <w:szCs w:val="22"/>
          <w:rtl w:val="0"/>
        </w:rPr>
        <w:t xml:space="preserve">common understanding</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between the parties.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CLAUSE FOURTEEN.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 relating to this Agreement for the Mobility of Students will be resolved by an Arbitration Board, consisting of one member appointed by each institution participant plus one member elected by mutual understanding.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FIFTEEN.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settle any litigious matter, which could not be solved by such an Arbitration Board, the court located at each participant institution headquarters will be exclusively chosen.</w:t>
      </w:r>
      <w:r w:rsidDel="00000000" w:rsidR="00000000" w:rsidRPr="00000000">
        <w:rPr>
          <w:rFonts w:ascii="Arial" w:cs="Arial" w:eastAsia="Arial" w:hAnsi="Arial"/>
          <w:b w:val="1"/>
          <w:i w:val="0"/>
          <w:smallCaps w:val="0"/>
          <w:strike w:val="0"/>
          <w:color w:val="2222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representatives of the two institutions sign this Agreement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2 (two) copies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 that it can be legally effective.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63.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820"/>
        <w:gridCol w:w="4143"/>
        <w:tblGridChange w:id="0">
          <w:tblGrid>
            <w:gridCol w:w="4820"/>
            <w:gridCol w:w="4143"/>
          </w:tblGrid>
        </w:tblGridChange>
      </w:tblGrid>
      <w:tr>
        <w:trPr>
          <w:cantSplit w:val="0"/>
          <w:trHeight w:val="71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Prof Renato Leão Rego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Coordinator of International Cooperation Office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University of Maringá</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578.0" w:type="dxa"/>
              <w:bottom w:w="80.0" w:type="dxa"/>
              <w:right w:w="80.0" w:type="dxa"/>
            </w:tcM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3" w:right="0" w:firstLine="0"/>
              <w:jc w:val="center"/>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(Name)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3" w:right="0" w:firstLine="0"/>
              <w:jc w:val="center"/>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(Position)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3"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(University’s name)</w:t>
            </w:r>
            <w:r w:rsidDel="00000000" w:rsidR="00000000" w:rsidRPr="00000000">
              <w:rPr>
                <w:rtl w:val="0"/>
              </w:rPr>
            </w:r>
          </w:p>
        </w:tc>
      </w:tr>
      <w:tr>
        <w:trPr>
          <w:cantSplit w:val="0"/>
          <w:trHeight w:val="212"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776" w:top="1134" w:left="1418" w:right="14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Página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781925" cy="10067925"/>
              <wp:effectExtent b="0" l="0" r="0" t="0"/>
              <wp:wrapNone/>
              <wp:docPr descr="Rectangle" id="1073741830" name=""/>
              <a:graphic>
                <a:graphicData uri="http://schemas.microsoft.com/office/word/2010/wordprocessingShape">
                  <wps:wsp>
                    <wps:cNvSpPr/>
                    <wps:cNvPr id="2" name="Shape 2"/>
                    <wps:spPr>
                      <a:xfrm>
                        <a:off x="1459800" y="0"/>
                        <a:ext cx="7772400" cy="7560000"/>
                      </a:xfrm>
                      <a:prstGeom prst="roundRect">
                        <a:avLst>
                          <a:gd fmla="val 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781925" cy="10067925"/>
              <wp:effectExtent b="0" l="0" r="0" t="0"/>
              <wp:wrapNone/>
              <wp:docPr descr="Rectangle" id="1073741830" name="image1.png"/>
              <a:graphic>
                <a:graphicData uri="http://schemas.openxmlformats.org/drawingml/2006/picture">
                  <pic:pic>
                    <pic:nvPicPr>
                      <pic:cNvPr descr="Rectangle" id="0" name="image1.png"/>
                      <pic:cNvPicPr preferRelativeResize="0"/>
                    </pic:nvPicPr>
                    <pic:blipFill>
                      <a:blip r:embed="rId1"/>
                      <a:srcRect/>
                      <a:stretch>
                        <a:fillRect/>
                      </a:stretch>
                    </pic:blipFill>
                    <pic:spPr>
                      <a:xfrm>
                        <a:off x="0" y="0"/>
                        <a:ext cx="7781925" cy="1006792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7733348</wp:posOffset>
              </wp:positionH>
              <wp:positionV relativeFrom="page">
                <wp:posOffset>453073</wp:posOffset>
              </wp:positionV>
              <wp:extent cx="26035" cy="154305"/>
              <wp:effectExtent b="0" l="0" r="0" t="0"/>
              <wp:wrapNone/>
              <wp:docPr descr="Rectangle" id="1073741832" name=""/>
              <a:graphic>
                <a:graphicData uri="http://schemas.microsoft.com/office/word/2010/wordprocessingShape">
                  <wps:wsp>
                    <wps:cNvSpPr/>
                    <wps:cNvPr id="7" name="Shape 7"/>
                    <wps:spPr>
                      <a:xfrm>
                        <a:off x="5337745" y="3707610"/>
                        <a:ext cx="16510" cy="14478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7733348</wp:posOffset>
              </wp:positionH>
              <wp:positionV relativeFrom="page">
                <wp:posOffset>453073</wp:posOffset>
              </wp:positionV>
              <wp:extent cx="26035" cy="154305"/>
              <wp:effectExtent b="0" l="0" r="0" t="0"/>
              <wp:wrapNone/>
              <wp:docPr descr="Rectangle" id="1073741832" name="image3.png"/>
              <a:graphic>
                <a:graphicData uri="http://schemas.openxmlformats.org/drawingml/2006/picture">
                  <pic:pic>
                    <pic:nvPicPr>
                      <pic:cNvPr descr="Rectangle" id="0" name="image3.png"/>
                      <pic:cNvPicPr preferRelativeResize="0"/>
                    </pic:nvPicPr>
                    <pic:blipFill>
                      <a:blip r:embed="rId2"/>
                      <a:srcRect/>
                      <a:stretch>
                        <a:fillRect/>
                      </a:stretch>
                    </pic:blipFill>
                    <pic:spPr>
                      <a:xfrm>
                        <a:off x="0" y="0"/>
                        <a:ext cx="26035" cy="15430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5276850</wp:posOffset>
              </wp:positionH>
              <wp:positionV relativeFrom="page">
                <wp:posOffset>209549</wp:posOffset>
              </wp:positionV>
              <wp:extent cx="1550036" cy="745491"/>
              <wp:effectExtent b="0" l="0" r="0" t="0"/>
              <wp:wrapNone/>
              <wp:docPr descr="Group" id="1073741831" name=""/>
              <a:graphic>
                <a:graphicData uri="http://schemas.microsoft.com/office/word/2010/wordprocessingGroup">
                  <wpg:wgp>
                    <wpg:cNvGrpSpPr/>
                    <wpg:grpSpPr>
                      <a:xfrm>
                        <a:off x="4570975" y="3407250"/>
                        <a:ext cx="1550036" cy="745491"/>
                        <a:chOff x="4570975" y="3407250"/>
                        <a:chExt cx="1550050" cy="745500"/>
                      </a:xfrm>
                    </wpg:grpSpPr>
                    <wpg:grpSp>
                      <wpg:cNvGrpSpPr/>
                      <wpg:grpSpPr>
                        <a:xfrm>
                          <a:off x="4570982" y="3407255"/>
                          <a:ext cx="1550037" cy="745492"/>
                          <a:chOff x="0" y="0"/>
                          <a:chExt cx="1550036" cy="745491"/>
                        </a:xfrm>
                      </wpg:grpSpPr>
                      <wps:wsp>
                        <wps:cNvSpPr/>
                        <wps:cNvPr id="4" name="Shape 4"/>
                        <wps:spPr>
                          <a:xfrm>
                            <a:off x="0" y="0"/>
                            <a:ext cx="1550025" cy="745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1550036" cy="745491"/>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age.png" id="6" name="Shape 6"/>
                          <pic:cNvPicPr preferRelativeResize="0"/>
                        </pic:nvPicPr>
                        <pic:blipFill rotWithShape="1">
                          <a:blip r:embed="rId3">
                            <a:alphaModFix amt="0"/>
                          </a:blip>
                          <a:srcRect b="0" l="0" r="0" t="0"/>
                          <a:stretch/>
                        </pic:blipFill>
                        <pic:spPr>
                          <a:xfrm>
                            <a:off x="189" y="193"/>
                            <a:ext cx="1549657" cy="74510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5276850</wp:posOffset>
              </wp:positionH>
              <wp:positionV relativeFrom="page">
                <wp:posOffset>209549</wp:posOffset>
              </wp:positionV>
              <wp:extent cx="1550036" cy="745491"/>
              <wp:effectExtent b="0" l="0" r="0" t="0"/>
              <wp:wrapNone/>
              <wp:docPr descr="Group" id="1073741831" name="image2.png"/>
              <a:graphic>
                <a:graphicData uri="http://schemas.openxmlformats.org/drawingml/2006/picture">
                  <pic:pic>
                    <pic:nvPicPr>
                      <pic:cNvPr descr="Group" id="0" name="image2.png"/>
                      <pic:cNvPicPr preferRelativeResize="0"/>
                    </pic:nvPicPr>
                    <pic:blipFill>
                      <a:blip r:embed="rId4"/>
                      <a:srcRect/>
                      <a:stretch>
                        <a:fillRect/>
                      </a:stretch>
                    </pic:blipFill>
                    <pic:spPr>
                      <a:xfrm>
                        <a:off x="0" y="0"/>
                        <a:ext cx="1550036" cy="745491"/>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UNIVERSITY LOGO                 </w:t>
      <w:tab/>
      <w:tab/>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Cabeçalho">
    <w:name w:val="Cabeçalho"/>
    <w:next w:val="Cabeçalho"/>
    <w:pPr>
      <w:keepNext w:val="0"/>
      <w:keepLines w:val="0"/>
      <w:pageBreakBefore w:val="0"/>
      <w:widowControl w:val="1"/>
      <w:shd w:color="auto" w:fill="auto" w:val="clear"/>
      <w:tabs>
        <w:tab w:val="center" w:pos="4252"/>
        <w:tab w:val="right" w:pos="8504"/>
      </w:tabs>
      <w:suppressAutoHyphens w:val="1"/>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lang w:val="pt-PT"/>
      <w14:textFill>
        <w14:solidFill>
          <w14:srgbClr w14:val="000000"/>
        </w14:solidFill>
      </w14:textFill>
    </w:rPr>
  </w:style>
  <w:style w:type="character" w:styleId="hps">
    <w:name w:val="hps"/>
    <w:rPr>
      <w:lang w:val="pt-PT"/>
    </w:rPr>
  </w:style>
  <w:style w:type="paragraph" w:styleId="Rodapé">
    <w:name w:val="Rodapé"/>
    <w:next w:val="Rodapé"/>
    <w:pPr>
      <w:keepNext w:val="0"/>
      <w:keepLines w:val="0"/>
      <w:pageBreakBefore w:val="0"/>
      <w:widowControl w:val="1"/>
      <w:shd w:color="auto" w:fill="auto" w:val="clear"/>
      <w:tabs>
        <w:tab w:val="center" w:pos="4252"/>
        <w:tab w:val="right" w:pos="8504"/>
      </w:tabs>
      <w:suppressAutoHyphens w:val="1"/>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lang w:val="pt-PT"/>
      <w14:textFill>
        <w14:solidFill>
          <w14:srgbClr w14:val="000000"/>
        </w14:solidFill>
      </w14:textFill>
    </w:rPr>
  </w:style>
  <w:style w:type="paragraph" w:styleId="Normal.0">
    <w:name w:val="Normal"/>
    <w:next w:val="Normal.0"/>
    <w:pPr>
      <w:keepNext w:val="0"/>
      <w:keepLines w:val="0"/>
      <w:pageBreakBefore w:val="0"/>
      <w:widowControl w:val="1"/>
      <w:shd w:color="auto" w:fill="auto" w:val="clear"/>
      <w:suppressAutoHyphens w:val="1"/>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lang w:val="pt-PT"/>
      <w14:textFill>
        <w14:solidFill>
          <w14:srgbClr w14:val="000000"/>
        </w14:solidFill>
      </w14:textFill>
      <w14:textOutline>
        <w14:noFill/>
      </w14:textOutline>
    </w:rPr>
  </w:style>
  <w:style w:type="paragraph" w:styleId="Normal (Web)">
    <w:name w:val="Normal (Web)"/>
    <w:next w:val="Normal (Web)"/>
    <w:pPr>
      <w:keepNext w:val="0"/>
      <w:keepLines w:val="0"/>
      <w:pageBreakBefore w:val="0"/>
      <w:widowControl w:val="1"/>
      <w:shd w:color="auto" w:fill="auto" w:val="clear"/>
      <w:suppressAutoHyphens w:val="1"/>
      <w:bidi w:val="0"/>
      <w:spacing w:after="100" w:before="10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pt-PT"/>
      <w14:textFill>
        <w14:solidFill>
          <w14:srgbClr w14:val="000000"/>
        </w14:solidFill>
      </w14:textFill>
    </w:rPr>
  </w:style>
  <w:style w:type="paragraph" w:styleId="Recuo de corpo de texto 31">
    <w:name w:val="Recuo de corpo de texto 31"/>
    <w:next w:val="Recuo de corpo de texto 31"/>
    <w:pPr>
      <w:keepNext w:val="0"/>
      <w:keepLines w:val="0"/>
      <w:pageBreakBefore w:val="0"/>
      <w:widowControl w:val="1"/>
      <w:shd w:color="auto" w:fill="auto" w:val="clear"/>
      <w:suppressAutoHyphens w:val="1"/>
      <w:bidi w:val="0"/>
      <w:spacing w:after="0" w:before="0" w:line="240" w:lineRule="exact"/>
      <w:ind w:left="0" w:right="0" w:firstLine="1440"/>
      <w:jc w:val="both"/>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pt-PT"/>
      <w14:textFill>
        <w14:solidFill>
          <w14:srgbClr w14:val="000000"/>
        </w14:solidFill>
      </w14:textFill>
    </w:rPr>
  </w:style>
  <w:style w:type="paragraph" w:styleId="Corpo do texto recuado">
    <w:name w:val="Corpo do texto recuado"/>
    <w:next w:val="Corpo do texto recuado"/>
    <w:pPr>
      <w:keepNext w:val="0"/>
      <w:keepLines w:val="0"/>
      <w:pageBreakBefore w:val="0"/>
      <w:widowControl w:val="1"/>
      <w:shd w:color="auto" w:fill="auto" w:val="clear"/>
      <w:suppressAutoHyphens w:val="1"/>
      <w:bidi w:val="0"/>
      <w:spacing w:after="0" w:before="0" w:line="240" w:lineRule="auto"/>
      <w:ind w:left="0" w:right="0" w:firstLine="1418"/>
      <w:jc w:val="both"/>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J2V7XlqzkdtVoHVKBmJPLWXvaQ==">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